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6C23" w14:textId="77777777" w:rsidR="00A536CE" w:rsidRPr="00A536CE" w:rsidRDefault="00A536CE" w:rsidP="00A536CE">
      <w:pPr>
        <w:rPr>
          <w:b/>
          <w:bCs/>
        </w:rPr>
      </w:pPr>
      <w:r w:rsidRPr="00A536CE">
        <w:rPr>
          <w:b/>
          <w:bCs/>
        </w:rPr>
        <w:t>1. OBJECTIVE</w:t>
      </w:r>
    </w:p>
    <w:p w14:paraId="52D61FA7" w14:textId="77777777" w:rsidR="00A536CE" w:rsidRPr="00A536CE" w:rsidRDefault="00A536CE" w:rsidP="00A536CE">
      <w:r w:rsidRPr="00A536CE">
        <w:t>a) To prevent the entry of lizards, rodents, and other pests inside electrical substations, MCC rooms, UPS rooms, battery rooms, substation galleries, VFD rooms, ECS rooms, battery charger rooms, HVAC rooms, and cable trenches/cellars.</w:t>
      </w:r>
      <w:r w:rsidRPr="00A536CE">
        <w:br/>
        <w:t>b) To control pest infestation and avoid electrical flashovers in HT/LT switchgear.</w:t>
      </w:r>
      <w:r w:rsidRPr="00A536CE">
        <w:br/>
        <w:t>c) To ensure pesticide/chemical handling is done safely and judiciously, minimizing health hazards.</w:t>
      </w:r>
      <w:r w:rsidRPr="00A536CE">
        <w:br/>
        <w:t>d) To ensure all building openings, doorframes, window frames, and utility penetrations are screened and sealed to prevent pest ingress.</w:t>
      </w:r>
    </w:p>
    <w:p w14:paraId="7B893890" w14:textId="02554040" w:rsidR="00A536CE" w:rsidRPr="00A536CE" w:rsidRDefault="00A536CE" w:rsidP="00A536CE">
      <w:pPr>
        <w:spacing w:after="0"/>
      </w:pPr>
    </w:p>
    <w:p w14:paraId="5A4BD68F" w14:textId="77777777" w:rsidR="00A536CE" w:rsidRPr="00A536CE" w:rsidRDefault="00A536CE" w:rsidP="00A536CE">
      <w:pPr>
        <w:spacing w:after="0"/>
        <w:rPr>
          <w:b/>
          <w:bCs/>
        </w:rPr>
      </w:pPr>
      <w:r w:rsidRPr="00A536CE">
        <w:rPr>
          <w:b/>
          <w:bCs/>
        </w:rPr>
        <w:t>2. PERSONAL PROTECTIVE EQUIPMENT (PPE)</w:t>
      </w:r>
    </w:p>
    <w:p w14:paraId="2A731BAB" w14:textId="77777777" w:rsidR="00A536CE" w:rsidRPr="00A536CE" w:rsidRDefault="00A536CE" w:rsidP="00A536CE">
      <w:pPr>
        <w:spacing w:after="0"/>
      </w:pPr>
      <w:r w:rsidRPr="00A536CE">
        <w:t>Personnel engaged in pest control shall wear the following PPEs:</w:t>
      </w:r>
    </w:p>
    <w:p w14:paraId="1CF9424B" w14:textId="77777777" w:rsidR="00A536CE" w:rsidRPr="00A536CE" w:rsidRDefault="00A536CE" w:rsidP="00A536CE">
      <w:pPr>
        <w:numPr>
          <w:ilvl w:val="0"/>
          <w:numId w:val="1"/>
        </w:numPr>
        <w:spacing w:after="0"/>
      </w:pPr>
      <w:r w:rsidRPr="00A536CE">
        <w:t>NIOSH-approved respirator or equivalent</w:t>
      </w:r>
    </w:p>
    <w:p w14:paraId="2171028D" w14:textId="77777777" w:rsidR="00A536CE" w:rsidRPr="00A536CE" w:rsidRDefault="00A536CE" w:rsidP="00A536CE">
      <w:pPr>
        <w:numPr>
          <w:ilvl w:val="0"/>
          <w:numId w:val="1"/>
        </w:numPr>
        <w:spacing w:after="0"/>
      </w:pPr>
      <w:r w:rsidRPr="00A536CE">
        <w:t>Safety goggles or protective glasses</w:t>
      </w:r>
    </w:p>
    <w:p w14:paraId="077BA3C2" w14:textId="77777777" w:rsidR="00A536CE" w:rsidRPr="00A536CE" w:rsidRDefault="00A536CE" w:rsidP="00A536CE">
      <w:pPr>
        <w:numPr>
          <w:ilvl w:val="0"/>
          <w:numId w:val="1"/>
        </w:numPr>
        <w:spacing w:after="0"/>
      </w:pPr>
      <w:r w:rsidRPr="00A536CE">
        <w:t>Chemical-resistant gloves</w:t>
      </w:r>
    </w:p>
    <w:p w14:paraId="2D45F65C" w14:textId="77777777" w:rsidR="00A536CE" w:rsidRPr="00A536CE" w:rsidRDefault="00A536CE" w:rsidP="00A536CE">
      <w:pPr>
        <w:numPr>
          <w:ilvl w:val="0"/>
          <w:numId w:val="1"/>
        </w:numPr>
        <w:spacing w:after="0"/>
      </w:pPr>
      <w:r w:rsidRPr="00A536CE">
        <w:t>Safety boots/shoes and helmet</w:t>
      </w:r>
    </w:p>
    <w:p w14:paraId="7008F9B1" w14:textId="77777777" w:rsidR="00A536CE" w:rsidRPr="00A536CE" w:rsidRDefault="00A536CE" w:rsidP="00A536CE">
      <w:pPr>
        <w:numPr>
          <w:ilvl w:val="0"/>
          <w:numId w:val="1"/>
        </w:numPr>
        <w:spacing w:after="0"/>
      </w:pPr>
      <w:r w:rsidRPr="00A536CE">
        <w:t>Full-body coveralls or IFR suit</w:t>
      </w:r>
    </w:p>
    <w:p w14:paraId="235FE613" w14:textId="77777777" w:rsidR="00A536CE" w:rsidRPr="00A536CE" w:rsidRDefault="00A536CE" w:rsidP="00A536CE">
      <w:pPr>
        <w:numPr>
          <w:ilvl w:val="0"/>
          <w:numId w:val="1"/>
        </w:numPr>
        <w:spacing w:after="0"/>
      </w:pPr>
      <w:r w:rsidRPr="00A536CE">
        <w:t>Chemical-resistant apron</w:t>
      </w:r>
    </w:p>
    <w:p w14:paraId="310A3A99" w14:textId="77777777" w:rsidR="00A536CE" w:rsidRPr="00A536CE" w:rsidRDefault="00A536CE" w:rsidP="00A536CE">
      <w:pPr>
        <w:numPr>
          <w:ilvl w:val="0"/>
          <w:numId w:val="1"/>
        </w:numPr>
        <w:spacing w:after="0"/>
      </w:pPr>
      <w:r w:rsidRPr="00A536CE">
        <w:t>Ear protection (if equipment noise exceeds permissible limits)</w:t>
      </w:r>
    </w:p>
    <w:p w14:paraId="7076D54C" w14:textId="77777777" w:rsidR="00A536CE" w:rsidRPr="00A536CE" w:rsidRDefault="00A536CE" w:rsidP="00A536CE">
      <w:pPr>
        <w:numPr>
          <w:ilvl w:val="0"/>
          <w:numId w:val="1"/>
        </w:numPr>
        <w:spacing w:after="0"/>
      </w:pPr>
      <w:r w:rsidRPr="00A536CE">
        <w:t>Any additional PPE as recommended by the pesticide manufacturer</w:t>
      </w:r>
    </w:p>
    <w:p w14:paraId="19E1BD06" w14:textId="77777777" w:rsidR="00A536CE" w:rsidRPr="00A536CE" w:rsidRDefault="00A536CE" w:rsidP="00A536CE">
      <w:pPr>
        <w:numPr>
          <w:ilvl w:val="0"/>
          <w:numId w:val="1"/>
        </w:numPr>
        <w:spacing w:after="0"/>
      </w:pPr>
      <w:r w:rsidRPr="00A536CE">
        <w:t>Valid medical fitness certificate from a registered medical professional</w:t>
      </w:r>
    </w:p>
    <w:p w14:paraId="041D3EC3" w14:textId="3AC9D62F" w:rsidR="00A536CE" w:rsidRPr="00A536CE" w:rsidRDefault="00A536CE" w:rsidP="00A536CE">
      <w:pPr>
        <w:spacing w:after="0"/>
      </w:pPr>
    </w:p>
    <w:p w14:paraId="70FD7F6D" w14:textId="77777777" w:rsidR="00A536CE" w:rsidRPr="00A536CE" w:rsidRDefault="00A536CE" w:rsidP="00A536CE">
      <w:pPr>
        <w:spacing w:after="0"/>
        <w:rPr>
          <w:b/>
          <w:bCs/>
        </w:rPr>
      </w:pPr>
      <w:r w:rsidRPr="00A536CE">
        <w:rPr>
          <w:b/>
          <w:bCs/>
        </w:rPr>
        <w:t>3. MATERIALS AND CHEMICALS</w:t>
      </w:r>
    </w:p>
    <w:p w14:paraId="480E6877" w14:textId="77777777" w:rsidR="00A536CE" w:rsidRPr="00A536CE" w:rsidRDefault="00A536CE" w:rsidP="00A536CE">
      <w:pPr>
        <w:spacing w:after="0"/>
      </w:pPr>
      <w:r w:rsidRPr="00A536CE">
        <w:t>Any one of the following chemicals (or equivalent) may be used for a minimum area of 100 sq. 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
        <w:gridCol w:w="2595"/>
        <w:gridCol w:w="1633"/>
        <w:gridCol w:w="2568"/>
      </w:tblGrid>
      <w:tr w:rsidR="00A536CE" w:rsidRPr="00A536CE" w14:paraId="3B5A348E" w14:textId="77777777">
        <w:trPr>
          <w:tblHeader/>
          <w:tblCellSpacing w:w="15" w:type="dxa"/>
        </w:trPr>
        <w:tc>
          <w:tcPr>
            <w:tcW w:w="0" w:type="auto"/>
            <w:vAlign w:val="center"/>
            <w:hideMark/>
          </w:tcPr>
          <w:p w14:paraId="6BCA7E69" w14:textId="77777777" w:rsidR="00A536CE" w:rsidRPr="00A536CE" w:rsidRDefault="00A536CE" w:rsidP="00A536CE">
            <w:pPr>
              <w:spacing w:after="0"/>
              <w:rPr>
                <w:b/>
                <w:bCs/>
              </w:rPr>
            </w:pPr>
            <w:r w:rsidRPr="00A536CE">
              <w:rPr>
                <w:b/>
                <w:bCs/>
              </w:rPr>
              <w:t>Sr. No.</w:t>
            </w:r>
          </w:p>
        </w:tc>
        <w:tc>
          <w:tcPr>
            <w:tcW w:w="0" w:type="auto"/>
            <w:vAlign w:val="center"/>
            <w:hideMark/>
          </w:tcPr>
          <w:p w14:paraId="52607289" w14:textId="77777777" w:rsidR="00A536CE" w:rsidRPr="00A536CE" w:rsidRDefault="00A536CE" w:rsidP="00A536CE">
            <w:pPr>
              <w:spacing w:after="0"/>
              <w:rPr>
                <w:b/>
                <w:bCs/>
              </w:rPr>
            </w:pPr>
            <w:r w:rsidRPr="00A536CE">
              <w:rPr>
                <w:b/>
                <w:bCs/>
              </w:rPr>
              <w:t>Material Name</w:t>
            </w:r>
          </w:p>
        </w:tc>
        <w:tc>
          <w:tcPr>
            <w:tcW w:w="0" w:type="auto"/>
            <w:vAlign w:val="center"/>
            <w:hideMark/>
          </w:tcPr>
          <w:p w14:paraId="5916DD4A" w14:textId="77777777" w:rsidR="00A536CE" w:rsidRPr="00A536CE" w:rsidRDefault="00A536CE" w:rsidP="00A536CE">
            <w:pPr>
              <w:spacing w:after="0"/>
              <w:rPr>
                <w:b/>
                <w:bCs/>
              </w:rPr>
            </w:pPr>
            <w:r w:rsidRPr="00A536CE">
              <w:rPr>
                <w:b/>
                <w:bCs/>
              </w:rPr>
              <w:t>Dilution Ratio</w:t>
            </w:r>
          </w:p>
        </w:tc>
        <w:tc>
          <w:tcPr>
            <w:tcW w:w="0" w:type="auto"/>
            <w:vAlign w:val="center"/>
            <w:hideMark/>
          </w:tcPr>
          <w:p w14:paraId="5D3452D2" w14:textId="77777777" w:rsidR="00A536CE" w:rsidRPr="00A536CE" w:rsidRDefault="00A536CE" w:rsidP="00A536CE">
            <w:pPr>
              <w:spacing w:after="0"/>
              <w:rPr>
                <w:b/>
                <w:bCs/>
              </w:rPr>
            </w:pPr>
            <w:r w:rsidRPr="00A536CE">
              <w:rPr>
                <w:b/>
                <w:bCs/>
              </w:rPr>
              <w:t>Solution Quantity (approx.)</w:t>
            </w:r>
          </w:p>
        </w:tc>
      </w:tr>
      <w:tr w:rsidR="00A536CE" w:rsidRPr="00A536CE" w14:paraId="2E176F0E" w14:textId="77777777">
        <w:trPr>
          <w:tblCellSpacing w:w="15" w:type="dxa"/>
        </w:trPr>
        <w:tc>
          <w:tcPr>
            <w:tcW w:w="0" w:type="auto"/>
            <w:vAlign w:val="center"/>
            <w:hideMark/>
          </w:tcPr>
          <w:p w14:paraId="0E9F0581" w14:textId="77777777" w:rsidR="00A536CE" w:rsidRPr="00A536CE" w:rsidRDefault="00A536CE" w:rsidP="00A536CE">
            <w:pPr>
              <w:spacing w:after="0"/>
            </w:pPr>
            <w:r w:rsidRPr="00A536CE">
              <w:t>a</w:t>
            </w:r>
          </w:p>
        </w:tc>
        <w:tc>
          <w:tcPr>
            <w:tcW w:w="0" w:type="auto"/>
            <w:vAlign w:val="center"/>
            <w:hideMark/>
          </w:tcPr>
          <w:p w14:paraId="05A2D825" w14:textId="77777777" w:rsidR="00A536CE" w:rsidRPr="00A536CE" w:rsidRDefault="00A536CE" w:rsidP="00A536CE">
            <w:pPr>
              <w:spacing w:after="0"/>
            </w:pPr>
            <w:r w:rsidRPr="00A536CE">
              <w:t>Malathion 50% EC</w:t>
            </w:r>
          </w:p>
        </w:tc>
        <w:tc>
          <w:tcPr>
            <w:tcW w:w="0" w:type="auto"/>
            <w:vAlign w:val="center"/>
            <w:hideMark/>
          </w:tcPr>
          <w:p w14:paraId="534AB258" w14:textId="77777777" w:rsidR="00A536CE" w:rsidRPr="00A536CE" w:rsidRDefault="00A536CE" w:rsidP="00A536CE">
            <w:pPr>
              <w:spacing w:after="0"/>
            </w:pPr>
            <w:r w:rsidRPr="00A536CE">
              <w:t>1:100 in water</w:t>
            </w:r>
          </w:p>
        </w:tc>
        <w:tc>
          <w:tcPr>
            <w:tcW w:w="0" w:type="auto"/>
            <w:vAlign w:val="center"/>
            <w:hideMark/>
          </w:tcPr>
          <w:p w14:paraId="73A8CEEE" w14:textId="77777777" w:rsidR="00A536CE" w:rsidRPr="00A536CE" w:rsidRDefault="00A536CE" w:rsidP="00A536CE">
            <w:pPr>
              <w:spacing w:after="0"/>
            </w:pPr>
            <w:r w:rsidRPr="00A536CE">
              <w:t>3.0 L</w:t>
            </w:r>
          </w:p>
        </w:tc>
      </w:tr>
      <w:tr w:rsidR="00A536CE" w:rsidRPr="00A536CE" w14:paraId="734A5F3E" w14:textId="77777777">
        <w:trPr>
          <w:tblCellSpacing w:w="15" w:type="dxa"/>
        </w:trPr>
        <w:tc>
          <w:tcPr>
            <w:tcW w:w="0" w:type="auto"/>
            <w:vAlign w:val="center"/>
            <w:hideMark/>
          </w:tcPr>
          <w:p w14:paraId="540C49D2" w14:textId="77777777" w:rsidR="00A536CE" w:rsidRPr="00A536CE" w:rsidRDefault="00A536CE" w:rsidP="00A536CE">
            <w:pPr>
              <w:spacing w:after="0"/>
            </w:pPr>
            <w:r w:rsidRPr="00A536CE">
              <w:t>b</w:t>
            </w:r>
          </w:p>
        </w:tc>
        <w:tc>
          <w:tcPr>
            <w:tcW w:w="0" w:type="auto"/>
            <w:vAlign w:val="center"/>
            <w:hideMark/>
          </w:tcPr>
          <w:p w14:paraId="7678E00B" w14:textId="77777777" w:rsidR="00A536CE" w:rsidRPr="00A536CE" w:rsidRDefault="00A536CE" w:rsidP="00A536CE">
            <w:pPr>
              <w:spacing w:after="0"/>
            </w:pPr>
            <w:r w:rsidRPr="00A536CE">
              <w:t>DDVP 76% EC</w:t>
            </w:r>
          </w:p>
        </w:tc>
        <w:tc>
          <w:tcPr>
            <w:tcW w:w="0" w:type="auto"/>
            <w:vAlign w:val="center"/>
            <w:hideMark/>
          </w:tcPr>
          <w:p w14:paraId="1637EF46" w14:textId="77777777" w:rsidR="00A536CE" w:rsidRPr="00A536CE" w:rsidRDefault="00A536CE" w:rsidP="00A536CE">
            <w:pPr>
              <w:spacing w:after="0"/>
            </w:pPr>
            <w:r w:rsidRPr="00A536CE">
              <w:t>1:150 in water</w:t>
            </w:r>
          </w:p>
        </w:tc>
        <w:tc>
          <w:tcPr>
            <w:tcW w:w="0" w:type="auto"/>
            <w:vAlign w:val="center"/>
            <w:hideMark/>
          </w:tcPr>
          <w:p w14:paraId="7AE30BD8" w14:textId="77777777" w:rsidR="00A536CE" w:rsidRPr="00A536CE" w:rsidRDefault="00A536CE" w:rsidP="00A536CE">
            <w:pPr>
              <w:spacing w:after="0"/>
            </w:pPr>
            <w:r w:rsidRPr="00A536CE">
              <w:t>3.0 L</w:t>
            </w:r>
          </w:p>
        </w:tc>
      </w:tr>
      <w:tr w:rsidR="00A536CE" w:rsidRPr="00A536CE" w14:paraId="0096CA7B" w14:textId="77777777">
        <w:trPr>
          <w:tblCellSpacing w:w="15" w:type="dxa"/>
        </w:trPr>
        <w:tc>
          <w:tcPr>
            <w:tcW w:w="0" w:type="auto"/>
            <w:vAlign w:val="center"/>
            <w:hideMark/>
          </w:tcPr>
          <w:p w14:paraId="0734BE72" w14:textId="77777777" w:rsidR="00A536CE" w:rsidRPr="00A536CE" w:rsidRDefault="00A536CE" w:rsidP="00A536CE">
            <w:pPr>
              <w:spacing w:after="0"/>
            </w:pPr>
            <w:r w:rsidRPr="00A536CE">
              <w:t>c</w:t>
            </w:r>
          </w:p>
        </w:tc>
        <w:tc>
          <w:tcPr>
            <w:tcW w:w="0" w:type="auto"/>
            <w:vAlign w:val="center"/>
            <w:hideMark/>
          </w:tcPr>
          <w:p w14:paraId="0D7AC4B4" w14:textId="77777777" w:rsidR="00A536CE" w:rsidRPr="00A536CE" w:rsidRDefault="00A536CE" w:rsidP="00A536CE">
            <w:pPr>
              <w:spacing w:after="0"/>
            </w:pPr>
            <w:r w:rsidRPr="00A536CE">
              <w:t>Deltamethrin 2.5%</w:t>
            </w:r>
          </w:p>
        </w:tc>
        <w:tc>
          <w:tcPr>
            <w:tcW w:w="0" w:type="auto"/>
            <w:vAlign w:val="center"/>
            <w:hideMark/>
          </w:tcPr>
          <w:p w14:paraId="39D8E417" w14:textId="77777777" w:rsidR="00A536CE" w:rsidRPr="00A536CE" w:rsidRDefault="00A536CE" w:rsidP="00A536CE">
            <w:pPr>
              <w:spacing w:after="0"/>
            </w:pPr>
            <w:r w:rsidRPr="00A536CE">
              <w:t>120 g in 3 L water</w:t>
            </w:r>
          </w:p>
        </w:tc>
        <w:tc>
          <w:tcPr>
            <w:tcW w:w="0" w:type="auto"/>
            <w:vAlign w:val="center"/>
            <w:hideMark/>
          </w:tcPr>
          <w:p w14:paraId="50B310C2" w14:textId="77777777" w:rsidR="00A536CE" w:rsidRPr="00A536CE" w:rsidRDefault="00A536CE" w:rsidP="00A536CE">
            <w:pPr>
              <w:spacing w:after="0"/>
            </w:pPr>
            <w:r w:rsidRPr="00A536CE">
              <w:t>3.0 L</w:t>
            </w:r>
          </w:p>
        </w:tc>
      </w:tr>
      <w:tr w:rsidR="00A536CE" w:rsidRPr="00A536CE" w14:paraId="3DF9AB87" w14:textId="77777777">
        <w:trPr>
          <w:tblCellSpacing w:w="15" w:type="dxa"/>
        </w:trPr>
        <w:tc>
          <w:tcPr>
            <w:tcW w:w="0" w:type="auto"/>
            <w:vAlign w:val="center"/>
            <w:hideMark/>
          </w:tcPr>
          <w:p w14:paraId="33E288A8" w14:textId="77777777" w:rsidR="00A536CE" w:rsidRPr="00A536CE" w:rsidRDefault="00A536CE" w:rsidP="00A536CE">
            <w:pPr>
              <w:spacing w:after="0"/>
            </w:pPr>
            <w:r w:rsidRPr="00A536CE">
              <w:t>d</w:t>
            </w:r>
          </w:p>
        </w:tc>
        <w:tc>
          <w:tcPr>
            <w:tcW w:w="0" w:type="auto"/>
            <w:vAlign w:val="center"/>
            <w:hideMark/>
          </w:tcPr>
          <w:p w14:paraId="14A162D0" w14:textId="77777777" w:rsidR="00A536CE" w:rsidRPr="00A536CE" w:rsidRDefault="00A536CE" w:rsidP="00A536CE">
            <w:pPr>
              <w:spacing w:after="0"/>
            </w:pPr>
            <w:proofErr w:type="spellStart"/>
            <w:r w:rsidRPr="00A536CE">
              <w:t>Blattanex</w:t>
            </w:r>
            <w:proofErr w:type="spellEnd"/>
            <w:r w:rsidRPr="00A536CE">
              <w:t xml:space="preserve"> / Propoxur 20% EC</w:t>
            </w:r>
          </w:p>
        </w:tc>
        <w:tc>
          <w:tcPr>
            <w:tcW w:w="0" w:type="auto"/>
            <w:vAlign w:val="center"/>
            <w:hideMark/>
          </w:tcPr>
          <w:p w14:paraId="0E587303" w14:textId="77777777" w:rsidR="00A536CE" w:rsidRPr="00A536CE" w:rsidRDefault="00A536CE" w:rsidP="00A536CE">
            <w:pPr>
              <w:spacing w:after="0"/>
            </w:pPr>
            <w:r w:rsidRPr="00A536CE">
              <w:t>1:40 in water</w:t>
            </w:r>
          </w:p>
        </w:tc>
        <w:tc>
          <w:tcPr>
            <w:tcW w:w="0" w:type="auto"/>
            <w:vAlign w:val="center"/>
            <w:hideMark/>
          </w:tcPr>
          <w:p w14:paraId="7240E0B6" w14:textId="77777777" w:rsidR="00A536CE" w:rsidRPr="00A536CE" w:rsidRDefault="00A536CE" w:rsidP="00A536CE">
            <w:pPr>
              <w:spacing w:after="0"/>
            </w:pPr>
            <w:r w:rsidRPr="00A536CE">
              <w:t>3.0 L</w:t>
            </w:r>
          </w:p>
        </w:tc>
      </w:tr>
      <w:tr w:rsidR="00A536CE" w:rsidRPr="00A536CE" w14:paraId="231273D8" w14:textId="77777777">
        <w:trPr>
          <w:tblCellSpacing w:w="15" w:type="dxa"/>
        </w:trPr>
        <w:tc>
          <w:tcPr>
            <w:tcW w:w="0" w:type="auto"/>
            <w:vAlign w:val="center"/>
            <w:hideMark/>
          </w:tcPr>
          <w:p w14:paraId="2E363096" w14:textId="77777777" w:rsidR="00A536CE" w:rsidRPr="00A536CE" w:rsidRDefault="00A536CE" w:rsidP="00A536CE">
            <w:pPr>
              <w:spacing w:after="0"/>
            </w:pPr>
            <w:r w:rsidRPr="00A536CE">
              <w:t>e</w:t>
            </w:r>
          </w:p>
        </w:tc>
        <w:tc>
          <w:tcPr>
            <w:tcW w:w="0" w:type="auto"/>
            <w:vAlign w:val="center"/>
            <w:hideMark/>
          </w:tcPr>
          <w:p w14:paraId="6FF2BC76" w14:textId="77777777" w:rsidR="00A536CE" w:rsidRPr="00A536CE" w:rsidRDefault="00A536CE" w:rsidP="00A536CE">
            <w:pPr>
              <w:spacing w:after="0"/>
            </w:pPr>
            <w:r w:rsidRPr="00A536CE">
              <w:t>Chlorpyriphos 20% EC</w:t>
            </w:r>
          </w:p>
        </w:tc>
        <w:tc>
          <w:tcPr>
            <w:tcW w:w="0" w:type="auto"/>
            <w:vAlign w:val="center"/>
            <w:hideMark/>
          </w:tcPr>
          <w:p w14:paraId="4E34F021" w14:textId="77777777" w:rsidR="00A536CE" w:rsidRPr="00A536CE" w:rsidRDefault="00A536CE" w:rsidP="00A536CE">
            <w:pPr>
              <w:spacing w:after="0"/>
            </w:pPr>
            <w:r w:rsidRPr="00A536CE">
              <w:t>1:100 in water</w:t>
            </w:r>
          </w:p>
        </w:tc>
        <w:tc>
          <w:tcPr>
            <w:tcW w:w="0" w:type="auto"/>
            <w:vAlign w:val="center"/>
            <w:hideMark/>
          </w:tcPr>
          <w:p w14:paraId="5FED062A" w14:textId="77777777" w:rsidR="00A536CE" w:rsidRPr="00A536CE" w:rsidRDefault="00A536CE" w:rsidP="00A536CE">
            <w:pPr>
              <w:spacing w:after="0"/>
            </w:pPr>
            <w:r w:rsidRPr="00A536CE">
              <w:t>3.5 L</w:t>
            </w:r>
          </w:p>
        </w:tc>
      </w:tr>
      <w:tr w:rsidR="00A536CE" w:rsidRPr="00A536CE" w14:paraId="34E77544" w14:textId="77777777">
        <w:trPr>
          <w:tblCellSpacing w:w="15" w:type="dxa"/>
        </w:trPr>
        <w:tc>
          <w:tcPr>
            <w:tcW w:w="0" w:type="auto"/>
            <w:vAlign w:val="center"/>
            <w:hideMark/>
          </w:tcPr>
          <w:p w14:paraId="15F2DF3E" w14:textId="77777777" w:rsidR="00A536CE" w:rsidRPr="00A536CE" w:rsidRDefault="00A536CE" w:rsidP="00A536CE">
            <w:pPr>
              <w:spacing w:after="0"/>
            </w:pPr>
            <w:r w:rsidRPr="00A536CE">
              <w:t>f</w:t>
            </w:r>
          </w:p>
        </w:tc>
        <w:tc>
          <w:tcPr>
            <w:tcW w:w="0" w:type="auto"/>
            <w:vAlign w:val="center"/>
            <w:hideMark/>
          </w:tcPr>
          <w:p w14:paraId="216B02BA" w14:textId="77777777" w:rsidR="00A536CE" w:rsidRPr="00A536CE" w:rsidRDefault="00A536CE" w:rsidP="00A536CE">
            <w:pPr>
              <w:spacing w:after="0"/>
            </w:pPr>
            <w:r w:rsidRPr="00A536CE">
              <w:t>Alphacypermethrin 10% EC</w:t>
            </w:r>
          </w:p>
        </w:tc>
        <w:tc>
          <w:tcPr>
            <w:tcW w:w="0" w:type="auto"/>
            <w:vAlign w:val="center"/>
            <w:hideMark/>
          </w:tcPr>
          <w:p w14:paraId="21544BB3" w14:textId="77777777" w:rsidR="00A536CE" w:rsidRPr="00A536CE" w:rsidRDefault="00A536CE" w:rsidP="00A536CE">
            <w:pPr>
              <w:spacing w:after="0"/>
            </w:pPr>
            <w:r w:rsidRPr="00A536CE">
              <w:t>1:100 in water</w:t>
            </w:r>
          </w:p>
        </w:tc>
        <w:tc>
          <w:tcPr>
            <w:tcW w:w="0" w:type="auto"/>
            <w:vAlign w:val="center"/>
            <w:hideMark/>
          </w:tcPr>
          <w:p w14:paraId="39E8D95C" w14:textId="77777777" w:rsidR="00A536CE" w:rsidRPr="00A536CE" w:rsidRDefault="00A536CE" w:rsidP="00A536CE">
            <w:pPr>
              <w:spacing w:after="0"/>
            </w:pPr>
            <w:r w:rsidRPr="00A536CE">
              <w:t>3.0 L</w:t>
            </w:r>
          </w:p>
        </w:tc>
      </w:tr>
    </w:tbl>
    <w:p w14:paraId="2E8A7930" w14:textId="77777777" w:rsidR="00A536CE" w:rsidRPr="00A536CE" w:rsidRDefault="00A536CE" w:rsidP="00A536CE">
      <w:pPr>
        <w:spacing w:after="0"/>
      </w:pPr>
      <w:r w:rsidRPr="00A536CE">
        <w:rPr>
          <w:b/>
          <w:bCs/>
        </w:rPr>
        <w:t>Note:</w:t>
      </w:r>
      <w:r w:rsidRPr="00A536CE">
        <w:t xml:space="preserve"> Always refer to the latest Material Safety Data Sheet (MSDS) for safe handling and disposal guidelines.</w:t>
      </w:r>
    </w:p>
    <w:p w14:paraId="1157E4DB" w14:textId="3B92F12E" w:rsidR="00A536CE" w:rsidRPr="00A536CE" w:rsidRDefault="00A536CE" w:rsidP="00A536CE">
      <w:pPr>
        <w:spacing w:after="0"/>
      </w:pPr>
    </w:p>
    <w:p w14:paraId="73F364CC" w14:textId="77777777" w:rsidR="00A536CE" w:rsidRPr="00A536CE" w:rsidRDefault="00A536CE" w:rsidP="00A536CE">
      <w:pPr>
        <w:spacing w:after="0"/>
        <w:rPr>
          <w:b/>
          <w:bCs/>
        </w:rPr>
      </w:pPr>
      <w:r w:rsidRPr="00A536CE">
        <w:rPr>
          <w:b/>
          <w:bCs/>
        </w:rPr>
        <w:t>4. PROCEDURE</w:t>
      </w:r>
    </w:p>
    <w:p w14:paraId="5B6ECBA3" w14:textId="77777777" w:rsidR="00A536CE" w:rsidRPr="00A536CE" w:rsidRDefault="00A536CE" w:rsidP="00A536CE">
      <w:pPr>
        <w:numPr>
          <w:ilvl w:val="0"/>
          <w:numId w:val="2"/>
        </w:numPr>
        <w:spacing w:after="0"/>
      </w:pPr>
      <w:r w:rsidRPr="00A536CE">
        <w:rPr>
          <w:b/>
          <w:bCs/>
        </w:rPr>
        <w:t>Preparation:</w:t>
      </w:r>
    </w:p>
    <w:p w14:paraId="44870AD9" w14:textId="77777777" w:rsidR="00A536CE" w:rsidRPr="00A536CE" w:rsidRDefault="00A536CE" w:rsidP="00A536CE">
      <w:pPr>
        <w:numPr>
          <w:ilvl w:val="1"/>
          <w:numId w:val="2"/>
        </w:numPr>
        <w:spacing w:after="0"/>
      </w:pPr>
      <w:r w:rsidRPr="00A536CE">
        <w:t>Verify all PPEs are worn and functional.</w:t>
      </w:r>
    </w:p>
    <w:p w14:paraId="0BB8107C" w14:textId="77777777" w:rsidR="00A536CE" w:rsidRPr="00A536CE" w:rsidRDefault="00A536CE" w:rsidP="00A536CE">
      <w:pPr>
        <w:numPr>
          <w:ilvl w:val="1"/>
          <w:numId w:val="2"/>
        </w:numPr>
        <w:spacing w:after="0"/>
      </w:pPr>
      <w:r w:rsidRPr="00A536CE">
        <w:t>Ensure chemical dilution is prepared as per approved ratio.</w:t>
      </w:r>
    </w:p>
    <w:p w14:paraId="2F5D1CDF" w14:textId="77777777" w:rsidR="00A536CE" w:rsidRPr="00A536CE" w:rsidRDefault="00A536CE" w:rsidP="00A536CE">
      <w:pPr>
        <w:numPr>
          <w:ilvl w:val="1"/>
          <w:numId w:val="2"/>
        </w:numPr>
        <w:spacing w:after="0"/>
      </w:pPr>
      <w:r w:rsidRPr="00A536CE">
        <w:t>Isolate electrical panels and sensitive equipment if required.</w:t>
      </w:r>
    </w:p>
    <w:p w14:paraId="222956DA" w14:textId="77777777" w:rsidR="00A536CE" w:rsidRPr="00A536CE" w:rsidRDefault="00A536CE" w:rsidP="00A536CE">
      <w:pPr>
        <w:numPr>
          <w:ilvl w:val="1"/>
          <w:numId w:val="2"/>
        </w:numPr>
        <w:spacing w:after="0"/>
      </w:pPr>
      <w:r w:rsidRPr="00A536CE">
        <w:t>Display warning signboards – “PEST CONTROL IN PROGRESS – ENTRY RESTRICTED”.</w:t>
      </w:r>
    </w:p>
    <w:p w14:paraId="26F5B9BF" w14:textId="77777777" w:rsidR="00A536CE" w:rsidRPr="00A536CE" w:rsidRDefault="00A536CE" w:rsidP="00A536CE">
      <w:pPr>
        <w:numPr>
          <w:ilvl w:val="0"/>
          <w:numId w:val="2"/>
        </w:numPr>
        <w:spacing w:after="0"/>
      </w:pPr>
      <w:r w:rsidRPr="00A536CE">
        <w:rPr>
          <w:b/>
          <w:bCs/>
        </w:rPr>
        <w:t>Application:</w:t>
      </w:r>
    </w:p>
    <w:p w14:paraId="3BE391FA" w14:textId="77777777" w:rsidR="00A536CE" w:rsidRPr="00A536CE" w:rsidRDefault="00A536CE" w:rsidP="00A536CE">
      <w:pPr>
        <w:numPr>
          <w:ilvl w:val="1"/>
          <w:numId w:val="2"/>
        </w:numPr>
        <w:spacing w:after="0"/>
      </w:pPr>
      <w:r w:rsidRPr="00A536CE">
        <w:t>Apply the diluted chemical uniformly using a hand sprayer or approved equipment.</w:t>
      </w:r>
    </w:p>
    <w:p w14:paraId="24640980" w14:textId="77777777" w:rsidR="00A536CE" w:rsidRPr="00A536CE" w:rsidRDefault="00A536CE" w:rsidP="00A536CE">
      <w:pPr>
        <w:numPr>
          <w:ilvl w:val="1"/>
          <w:numId w:val="2"/>
        </w:numPr>
        <w:spacing w:after="0"/>
      </w:pPr>
      <w:r w:rsidRPr="00A536CE">
        <w:lastRenderedPageBreak/>
        <w:t>Focus treatment along wall corners, cable trenches, ducts, and behind panels.</w:t>
      </w:r>
    </w:p>
    <w:p w14:paraId="2CCD39A2" w14:textId="77777777" w:rsidR="00A536CE" w:rsidRPr="00A536CE" w:rsidRDefault="00A536CE" w:rsidP="00A536CE">
      <w:pPr>
        <w:numPr>
          <w:ilvl w:val="1"/>
          <w:numId w:val="2"/>
        </w:numPr>
        <w:spacing w:after="0"/>
      </w:pPr>
      <w:r w:rsidRPr="00A536CE">
        <w:t>Avoid spraying directly on live electrical parts, terminals, or panels.</w:t>
      </w:r>
    </w:p>
    <w:p w14:paraId="5828D64A" w14:textId="77777777" w:rsidR="00A536CE" w:rsidRPr="00A536CE" w:rsidRDefault="00A536CE" w:rsidP="00A536CE">
      <w:pPr>
        <w:numPr>
          <w:ilvl w:val="1"/>
          <w:numId w:val="2"/>
        </w:numPr>
        <w:spacing w:after="0"/>
      </w:pPr>
      <w:r w:rsidRPr="00A536CE">
        <w:t>Ensure adequate ventilation during and after treatment.</w:t>
      </w:r>
    </w:p>
    <w:p w14:paraId="31B1B7F0" w14:textId="77777777" w:rsidR="00A536CE" w:rsidRPr="00A536CE" w:rsidRDefault="00A536CE" w:rsidP="00A536CE">
      <w:pPr>
        <w:numPr>
          <w:ilvl w:val="0"/>
          <w:numId w:val="2"/>
        </w:numPr>
        <w:spacing w:after="0"/>
      </w:pPr>
      <w:r w:rsidRPr="00A536CE">
        <w:rPr>
          <w:b/>
          <w:bCs/>
        </w:rPr>
        <w:t>Post-Treatment:</w:t>
      </w:r>
    </w:p>
    <w:p w14:paraId="09EA50FA" w14:textId="77777777" w:rsidR="00A536CE" w:rsidRPr="00A536CE" w:rsidRDefault="00A536CE" w:rsidP="00A536CE">
      <w:pPr>
        <w:numPr>
          <w:ilvl w:val="1"/>
          <w:numId w:val="2"/>
        </w:numPr>
        <w:spacing w:after="0"/>
      </w:pPr>
      <w:r w:rsidRPr="00A536CE">
        <w:t>Wash hands and exposed skin thoroughly after the activity.</w:t>
      </w:r>
    </w:p>
    <w:p w14:paraId="7D3131AD" w14:textId="77777777" w:rsidR="00A536CE" w:rsidRPr="00A536CE" w:rsidRDefault="00A536CE" w:rsidP="00A536CE">
      <w:pPr>
        <w:numPr>
          <w:ilvl w:val="1"/>
          <w:numId w:val="2"/>
        </w:numPr>
        <w:spacing w:after="0"/>
      </w:pPr>
      <w:r w:rsidRPr="00A536CE">
        <w:t>Remove PPE only after decontamination.</w:t>
      </w:r>
    </w:p>
    <w:p w14:paraId="634BB627" w14:textId="77777777" w:rsidR="00A536CE" w:rsidRPr="00A536CE" w:rsidRDefault="00A536CE" w:rsidP="00A536CE">
      <w:pPr>
        <w:numPr>
          <w:ilvl w:val="1"/>
          <w:numId w:val="2"/>
        </w:numPr>
        <w:spacing w:after="0"/>
      </w:pPr>
      <w:r w:rsidRPr="00A536CE">
        <w:t>Dispose of chemical containers as per environmental and safety regulations.</w:t>
      </w:r>
    </w:p>
    <w:p w14:paraId="6A97DD31" w14:textId="77777777" w:rsidR="00A536CE" w:rsidRPr="00A536CE" w:rsidRDefault="00A536CE" w:rsidP="00A536CE">
      <w:pPr>
        <w:numPr>
          <w:ilvl w:val="1"/>
          <w:numId w:val="2"/>
        </w:numPr>
        <w:spacing w:after="0"/>
      </w:pPr>
      <w:r w:rsidRPr="00A536CE">
        <w:t>Record treatment details in the Pest Control Logbook (date, chemical used, area covered, name of applicator, etc.).</w:t>
      </w:r>
    </w:p>
    <w:p w14:paraId="5F0D97A3" w14:textId="0F3B403D" w:rsidR="00A536CE" w:rsidRPr="00A536CE" w:rsidRDefault="00A536CE" w:rsidP="00A536CE">
      <w:pPr>
        <w:spacing w:after="0"/>
      </w:pPr>
    </w:p>
    <w:p w14:paraId="277F2534" w14:textId="77777777" w:rsidR="00A536CE" w:rsidRPr="00A536CE" w:rsidRDefault="00A536CE" w:rsidP="00A536CE">
      <w:pPr>
        <w:spacing w:after="0"/>
        <w:rPr>
          <w:b/>
          <w:bCs/>
        </w:rPr>
      </w:pPr>
      <w:r w:rsidRPr="00A536CE">
        <w:rPr>
          <w:b/>
          <w:bCs/>
        </w:rPr>
        <w:t>5. FREQUENCY</w:t>
      </w:r>
    </w:p>
    <w:p w14:paraId="53C2FF53" w14:textId="77777777" w:rsidR="00A536CE" w:rsidRPr="00A536CE" w:rsidRDefault="00A536CE" w:rsidP="00A536CE">
      <w:pPr>
        <w:numPr>
          <w:ilvl w:val="0"/>
          <w:numId w:val="3"/>
        </w:numPr>
        <w:spacing w:after="0"/>
      </w:pPr>
      <w:r w:rsidRPr="00A536CE">
        <w:rPr>
          <w:b/>
          <w:bCs/>
        </w:rPr>
        <w:t>Spray Treatment:</w:t>
      </w:r>
      <w:r w:rsidRPr="00A536CE">
        <w:t xml:space="preserve"> Once every 7 days.</w:t>
      </w:r>
    </w:p>
    <w:p w14:paraId="7AC9FF45" w14:textId="77777777" w:rsidR="00A536CE" w:rsidRPr="00A536CE" w:rsidRDefault="00A536CE" w:rsidP="00A536CE">
      <w:pPr>
        <w:numPr>
          <w:ilvl w:val="0"/>
          <w:numId w:val="3"/>
        </w:numPr>
        <w:spacing w:after="0"/>
      </w:pPr>
      <w:r w:rsidRPr="00A536CE">
        <w:rPr>
          <w:b/>
          <w:bCs/>
        </w:rPr>
        <w:t>Rodent Baiting:</w:t>
      </w:r>
      <w:r w:rsidRPr="00A536CE">
        <w:t xml:space="preserve"> Fortnightly, using 2% Zinc Phosphate bait by weight.</w:t>
      </w:r>
    </w:p>
    <w:p w14:paraId="3252FE64" w14:textId="738D253F" w:rsidR="00A536CE" w:rsidRPr="00A536CE" w:rsidRDefault="00A536CE" w:rsidP="00A536CE">
      <w:pPr>
        <w:numPr>
          <w:ilvl w:val="0"/>
          <w:numId w:val="3"/>
        </w:numPr>
        <w:spacing w:after="0"/>
      </w:pPr>
      <w:r w:rsidRPr="00A536CE">
        <w:rPr>
          <w:b/>
          <w:bCs/>
        </w:rPr>
        <w:t>Monitoring &amp; Inspection:</w:t>
      </w:r>
      <w:r w:rsidRPr="00A536CE">
        <w:t xml:space="preserve"> Monthly, by </w:t>
      </w:r>
      <w:r w:rsidR="00F85164">
        <w:t>SIC/EIC/</w:t>
      </w:r>
      <w:r w:rsidRPr="00A536CE">
        <w:t>Safety and Maintenance team.</w:t>
      </w:r>
    </w:p>
    <w:p w14:paraId="34F613C7" w14:textId="7A027A70" w:rsidR="00A536CE" w:rsidRPr="00A536CE" w:rsidRDefault="00A536CE" w:rsidP="00A536CE">
      <w:pPr>
        <w:spacing w:after="0"/>
      </w:pPr>
    </w:p>
    <w:p w14:paraId="5F617DC7" w14:textId="77777777" w:rsidR="00A536CE" w:rsidRPr="00A536CE" w:rsidRDefault="00A536CE" w:rsidP="00A536CE">
      <w:pPr>
        <w:spacing w:after="0"/>
        <w:rPr>
          <w:b/>
          <w:bCs/>
        </w:rPr>
      </w:pPr>
      <w:r w:rsidRPr="00A536CE">
        <w:rPr>
          <w:b/>
          <w:bCs/>
        </w:rPr>
        <w:t>6. SAFETY AND PRECAUTIONS</w:t>
      </w:r>
    </w:p>
    <w:p w14:paraId="3A2315E2" w14:textId="77777777" w:rsidR="00A536CE" w:rsidRPr="00A536CE" w:rsidRDefault="00A536CE" w:rsidP="00A536CE">
      <w:pPr>
        <w:numPr>
          <w:ilvl w:val="0"/>
          <w:numId w:val="4"/>
        </w:numPr>
        <w:spacing w:after="0"/>
      </w:pPr>
      <w:r w:rsidRPr="00A536CE">
        <w:t>Avoid overuse of pesticides.</w:t>
      </w:r>
    </w:p>
    <w:p w14:paraId="6F0B49BA" w14:textId="77777777" w:rsidR="00A536CE" w:rsidRPr="00A536CE" w:rsidRDefault="00A536CE" w:rsidP="00A536CE">
      <w:pPr>
        <w:numPr>
          <w:ilvl w:val="0"/>
          <w:numId w:val="4"/>
        </w:numPr>
        <w:spacing w:after="0"/>
      </w:pPr>
      <w:r w:rsidRPr="00A536CE">
        <w:t>Do not store pesticide containers in electrical or control rooms.</w:t>
      </w:r>
    </w:p>
    <w:p w14:paraId="1F18617A" w14:textId="77777777" w:rsidR="00A536CE" w:rsidRPr="00A536CE" w:rsidRDefault="00A536CE" w:rsidP="00A536CE">
      <w:pPr>
        <w:numPr>
          <w:ilvl w:val="0"/>
          <w:numId w:val="4"/>
        </w:numPr>
        <w:spacing w:after="0"/>
      </w:pPr>
      <w:r w:rsidRPr="00A536CE">
        <w:t>In case of exposure, follow MSDS first-aid instructions and seek medical attention immediately.</w:t>
      </w:r>
    </w:p>
    <w:p w14:paraId="0560575F" w14:textId="77777777" w:rsidR="00A536CE" w:rsidRPr="00A536CE" w:rsidRDefault="00A536CE" w:rsidP="00A536CE">
      <w:pPr>
        <w:numPr>
          <w:ilvl w:val="0"/>
          <w:numId w:val="4"/>
        </w:numPr>
        <w:spacing w:after="0"/>
      </w:pPr>
      <w:r w:rsidRPr="00A536CE">
        <w:t>Maintain proper ventilation during spraying.</w:t>
      </w:r>
    </w:p>
    <w:p w14:paraId="5C048704" w14:textId="77777777" w:rsidR="00A536CE" w:rsidRPr="00A536CE" w:rsidRDefault="00A536CE" w:rsidP="00A536CE">
      <w:pPr>
        <w:numPr>
          <w:ilvl w:val="0"/>
          <w:numId w:val="4"/>
        </w:numPr>
        <w:spacing w:after="0"/>
      </w:pPr>
      <w:r w:rsidRPr="00A536CE">
        <w:t>Ensure treated areas are not accessed until the recommended re-entry period lapses.</w:t>
      </w:r>
    </w:p>
    <w:p w14:paraId="34BC8470" w14:textId="4C2001B7" w:rsidR="00A536CE" w:rsidRPr="00A536CE" w:rsidRDefault="00A536CE" w:rsidP="00A536CE">
      <w:pPr>
        <w:spacing w:after="0"/>
      </w:pPr>
    </w:p>
    <w:p w14:paraId="3F318A50" w14:textId="77777777" w:rsidR="00A536CE" w:rsidRPr="00A536CE" w:rsidRDefault="00A536CE" w:rsidP="00A536CE">
      <w:pPr>
        <w:spacing w:after="0"/>
        <w:rPr>
          <w:b/>
          <w:bCs/>
        </w:rPr>
      </w:pPr>
      <w:r w:rsidRPr="00A536CE">
        <w:rPr>
          <w:b/>
          <w:bCs/>
        </w:rPr>
        <w:t>7. RECORDS AND DOCUMENTATION</w:t>
      </w:r>
    </w:p>
    <w:p w14:paraId="6A93FFCB" w14:textId="77777777" w:rsidR="00A536CE" w:rsidRPr="00A536CE" w:rsidRDefault="00A536CE" w:rsidP="00A536CE">
      <w:pPr>
        <w:numPr>
          <w:ilvl w:val="0"/>
          <w:numId w:val="5"/>
        </w:numPr>
        <w:spacing w:after="0"/>
      </w:pPr>
      <w:r w:rsidRPr="00A536CE">
        <w:t>Maintain records of:</w:t>
      </w:r>
    </w:p>
    <w:p w14:paraId="4AC8FBB1" w14:textId="77777777" w:rsidR="00A536CE" w:rsidRPr="00A536CE" w:rsidRDefault="00A536CE" w:rsidP="00A536CE">
      <w:pPr>
        <w:numPr>
          <w:ilvl w:val="1"/>
          <w:numId w:val="5"/>
        </w:numPr>
        <w:spacing w:after="0"/>
      </w:pPr>
      <w:r w:rsidRPr="00A536CE">
        <w:t>Chemical inventory and MSDS copies</w:t>
      </w:r>
    </w:p>
    <w:p w14:paraId="1B6C9330" w14:textId="77777777" w:rsidR="00A536CE" w:rsidRPr="00A536CE" w:rsidRDefault="00A536CE" w:rsidP="00A536CE">
      <w:pPr>
        <w:numPr>
          <w:ilvl w:val="1"/>
          <w:numId w:val="5"/>
        </w:numPr>
        <w:spacing w:after="0"/>
      </w:pPr>
      <w:r w:rsidRPr="00A536CE">
        <w:t>Pest control treatment log</w:t>
      </w:r>
    </w:p>
    <w:p w14:paraId="2F5762C5" w14:textId="77777777" w:rsidR="00A536CE" w:rsidRPr="00A536CE" w:rsidRDefault="00A536CE" w:rsidP="00A536CE">
      <w:pPr>
        <w:numPr>
          <w:ilvl w:val="1"/>
          <w:numId w:val="5"/>
        </w:numPr>
        <w:spacing w:after="0"/>
      </w:pPr>
      <w:r w:rsidRPr="00A536CE">
        <w:t>Inspection and monitoring reports</w:t>
      </w:r>
    </w:p>
    <w:p w14:paraId="4674DA3C" w14:textId="77777777" w:rsidR="00A536CE" w:rsidRPr="00A536CE" w:rsidRDefault="00A536CE" w:rsidP="00A536CE">
      <w:pPr>
        <w:numPr>
          <w:ilvl w:val="1"/>
          <w:numId w:val="5"/>
        </w:numPr>
        <w:spacing w:after="0"/>
      </w:pPr>
      <w:r w:rsidRPr="00A536CE">
        <w:t>PPE issuance and medical fitness certificates</w:t>
      </w:r>
    </w:p>
    <w:p w14:paraId="009D271E" w14:textId="77777777" w:rsidR="009A5D1D" w:rsidRDefault="009A5D1D"/>
    <w:sectPr w:rsidR="009A5D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3938"/>
    <w:multiLevelType w:val="multilevel"/>
    <w:tmpl w:val="AE0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67BC0"/>
    <w:multiLevelType w:val="multilevel"/>
    <w:tmpl w:val="9946B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D04F4B"/>
    <w:multiLevelType w:val="multilevel"/>
    <w:tmpl w:val="744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A492A"/>
    <w:multiLevelType w:val="multilevel"/>
    <w:tmpl w:val="0C24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73BA"/>
    <w:multiLevelType w:val="multilevel"/>
    <w:tmpl w:val="C9A4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81660">
    <w:abstractNumId w:val="2"/>
  </w:num>
  <w:num w:numId="2" w16cid:durableId="170142295">
    <w:abstractNumId w:val="1"/>
  </w:num>
  <w:num w:numId="3" w16cid:durableId="883061664">
    <w:abstractNumId w:val="4"/>
  </w:num>
  <w:num w:numId="4" w16cid:durableId="642123111">
    <w:abstractNumId w:val="0"/>
  </w:num>
  <w:num w:numId="5" w16cid:durableId="193851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1596"/>
    <w:rsid w:val="00236490"/>
    <w:rsid w:val="00632A6A"/>
    <w:rsid w:val="0092120D"/>
    <w:rsid w:val="009A5D1D"/>
    <w:rsid w:val="009B563E"/>
    <w:rsid w:val="00A536CE"/>
    <w:rsid w:val="00B35B6F"/>
    <w:rsid w:val="00B81BE9"/>
    <w:rsid w:val="00BC1A16"/>
    <w:rsid w:val="00DD36DA"/>
    <w:rsid w:val="00F11596"/>
    <w:rsid w:val="00F851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256C"/>
  <w15:chartTrackingRefBased/>
  <w15:docId w15:val="{B758384B-51CA-44AB-BF0E-5E2FACAC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5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15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159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159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159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1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9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15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159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159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15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1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596"/>
    <w:rPr>
      <w:rFonts w:eastAsiaTheme="majorEastAsia" w:cstheme="majorBidi"/>
      <w:color w:val="272727" w:themeColor="text1" w:themeTint="D8"/>
    </w:rPr>
  </w:style>
  <w:style w:type="paragraph" w:styleId="Title">
    <w:name w:val="Title"/>
    <w:basedOn w:val="Normal"/>
    <w:next w:val="Normal"/>
    <w:link w:val="TitleChar"/>
    <w:uiPriority w:val="10"/>
    <w:qFormat/>
    <w:rsid w:val="00F11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5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5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1596"/>
    <w:rPr>
      <w:i/>
      <w:iCs/>
      <w:color w:val="404040" w:themeColor="text1" w:themeTint="BF"/>
    </w:rPr>
  </w:style>
  <w:style w:type="paragraph" w:styleId="ListParagraph">
    <w:name w:val="List Paragraph"/>
    <w:basedOn w:val="Normal"/>
    <w:uiPriority w:val="34"/>
    <w:qFormat/>
    <w:rsid w:val="00F11596"/>
    <w:pPr>
      <w:ind w:left="720"/>
      <w:contextualSpacing/>
    </w:pPr>
  </w:style>
  <w:style w:type="character" w:styleId="IntenseEmphasis">
    <w:name w:val="Intense Emphasis"/>
    <w:basedOn w:val="DefaultParagraphFont"/>
    <w:uiPriority w:val="21"/>
    <w:qFormat/>
    <w:rsid w:val="00F11596"/>
    <w:rPr>
      <w:i/>
      <w:iCs/>
      <w:color w:val="365F91" w:themeColor="accent1" w:themeShade="BF"/>
    </w:rPr>
  </w:style>
  <w:style w:type="paragraph" w:styleId="IntenseQuote">
    <w:name w:val="Intense Quote"/>
    <w:basedOn w:val="Normal"/>
    <w:next w:val="Normal"/>
    <w:link w:val="IntenseQuoteChar"/>
    <w:uiPriority w:val="30"/>
    <w:qFormat/>
    <w:rsid w:val="00F115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1596"/>
    <w:rPr>
      <w:i/>
      <w:iCs/>
      <w:color w:val="365F91" w:themeColor="accent1" w:themeShade="BF"/>
    </w:rPr>
  </w:style>
  <w:style w:type="character" w:styleId="IntenseReference">
    <w:name w:val="Intense Reference"/>
    <w:basedOn w:val="DefaultParagraphFont"/>
    <w:uiPriority w:val="32"/>
    <w:qFormat/>
    <w:rsid w:val="00F115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2761</Characters>
  <Application>Microsoft Office Word</Application>
  <DocSecurity>0</DocSecurity>
  <Lines>23</Lines>
  <Paragraphs>6</Paragraphs>
  <ScaleCrop>false</ScaleCrop>
  <Company>IOCL</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00083169</dc:creator>
  <cp:keywords/>
  <dc:description/>
  <cp:lastModifiedBy>00083169</cp:lastModifiedBy>
  <cp:revision>4</cp:revision>
  <dcterms:created xsi:type="dcterms:W3CDTF">2025-10-21T12:06:00Z</dcterms:created>
  <dcterms:modified xsi:type="dcterms:W3CDTF">2025-10-22T09:06:00Z</dcterms:modified>
</cp:coreProperties>
</file>